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topLinePunct w:val="0"/>
        <w:autoSpaceDE/>
        <w:autoSpaceDN/>
        <w:bidi w:val="0"/>
        <w:spacing w:before="0" w:beforeAutospacing="0" w:after="0" w:afterAutospacing="0" w:line="560" w:lineRule="exact"/>
        <w:ind w:firstLine="640" w:firstLineChars="200"/>
        <w:jc w:val="both"/>
        <w:rPr>
          <w:rStyle w:val="5"/>
          <w:rFonts w:hint="eastAsia" w:ascii="黑体" w:hAnsi="黑体" w:eastAsia="黑体" w:cs="宋体"/>
          <w:b w:val="0"/>
          <w:color w:val="000000"/>
          <w:sz w:val="32"/>
          <w:szCs w:val="32"/>
          <w:shd w:val="clear" w:color="auto" w:fill="FFFFFF"/>
          <w:lang w:eastAsia="zh-CN"/>
        </w:rPr>
      </w:pPr>
      <w:r>
        <w:rPr>
          <w:rStyle w:val="5"/>
          <w:rFonts w:hint="eastAsia" w:ascii="黑体" w:hAnsi="黑体" w:eastAsia="黑体" w:cs="宋体"/>
          <w:b w:val="0"/>
          <w:color w:val="000000"/>
          <w:sz w:val="32"/>
          <w:szCs w:val="32"/>
          <w:shd w:val="clear" w:color="auto" w:fill="FFFFFF"/>
          <w:lang w:eastAsia="zh-CN"/>
        </w:rPr>
        <w:t>附件</w:t>
      </w:r>
      <w:r>
        <w:rPr>
          <w:rStyle w:val="5"/>
          <w:rFonts w:hint="eastAsia" w:ascii="Times New Roman" w:hAnsi="Times New Roman" w:eastAsia="黑体"/>
          <w:b w:val="0"/>
          <w:color w:val="000000"/>
          <w:sz w:val="32"/>
          <w:szCs w:val="32"/>
          <w:shd w:val="clear" w:color="auto" w:fill="FFFFFF"/>
          <w:lang w:val="en-US" w:eastAsia="zh-CN"/>
        </w:rPr>
        <w:t>8</w:t>
      </w:r>
      <w:bookmarkStart w:id="0" w:name="_GoBack"/>
      <w:bookmarkEnd w:id="0"/>
    </w:p>
    <w:p>
      <w:pPr>
        <w:pStyle w:val="2"/>
        <w:widowControl/>
        <w:shd w:val="clear" w:color="auto" w:fill="FFFFFF"/>
        <w:spacing w:before="0" w:beforeAutospacing="0" w:after="0" w:afterAutospacing="0" w:line="560" w:lineRule="exact"/>
        <w:jc w:val="center"/>
        <w:rPr>
          <w:rFonts w:hint="eastAsia" w:ascii="Times New Roman" w:hAnsi="Times New Roman" w:eastAsia="方正小标宋_GBK"/>
          <w:color w:val="000000"/>
          <w:kern w:val="2"/>
          <w:sz w:val="36"/>
          <w:szCs w:val="36"/>
        </w:rPr>
      </w:pPr>
      <w:r>
        <w:rPr>
          <w:rFonts w:hint="eastAsia" w:ascii="Times New Roman" w:hAnsi="Times New Roman" w:eastAsia="方正小标宋_GBK"/>
          <w:color w:val="000000"/>
          <w:kern w:val="2"/>
          <w:sz w:val="36"/>
          <w:szCs w:val="36"/>
        </w:rPr>
        <w:t>思政技能大比武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60" w:lineRule="exact"/>
        <w:ind w:left="0" w:leftChars="0" w:right="0" w:rightChars="0" w:firstLine="0" w:firstLineChars="0"/>
        <w:jc w:val="center"/>
        <w:textAlignment w:val="auto"/>
        <w:outlineLvl w:val="9"/>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主题团课、思政课备赛指南</w:t>
      </w:r>
    </w:p>
    <w:tbl>
      <w:tblPr>
        <w:tblStyle w:val="3"/>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黑体" w:hAnsi="黑体" w:eastAsia="黑体" w:cs="黑体"/>
                <w:color w:val="000000"/>
                <w:sz w:val="32"/>
                <w:szCs w:val="32"/>
              </w:rPr>
            </w:pPr>
            <w:r>
              <w:rPr>
                <w:rFonts w:hint="eastAsia" w:ascii="方正黑体_GBK" w:hAnsi="方正黑体_GBK" w:eastAsia="方正黑体_GBK" w:cs="方正黑体_GBK"/>
                <w:color w:val="000000"/>
                <w:sz w:val="32"/>
                <w:szCs w:val="32"/>
              </w:rPr>
              <w:t>章节</w:t>
            </w:r>
          </w:p>
        </w:tc>
        <w:tc>
          <w:tcPr>
            <w:tcW w:w="7512" w:type="dxa"/>
            <w:noWrap w:val="0"/>
            <w:vAlign w:val="top"/>
          </w:tcPr>
          <w:p>
            <w:pPr>
              <w:keepNext w:val="0"/>
              <w:keepLines w:val="0"/>
              <w:pageBreakBefore w:val="0"/>
              <w:kinsoku/>
              <w:wordWrap/>
              <w:overflowPunct/>
              <w:topLinePunct w:val="0"/>
              <w:autoSpaceDE/>
              <w:autoSpaceDN/>
              <w:bidi w:val="0"/>
              <w:adjustRightInd/>
              <w:snapToGrid w:val="0"/>
              <w:spacing w:line="560" w:lineRule="exact"/>
              <w:contextualSpacing/>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参考选题及要求：</w:t>
            </w:r>
          </w:p>
          <w:p>
            <w:pPr>
              <w:keepNext w:val="0"/>
              <w:keepLines w:val="0"/>
              <w:pageBreakBefore w:val="0"/>
              <w:widowControl/>
              <w:kinsoku/>
              <w:wordWrap/>
              <w:overflowPunct/>
              <w:topLinePunct w:val="0"/>
              <w:autoSpaceDE/>
              <w:autoSpaceDN/>
              <w:bidi w:val="0"/>
              <w:adjustRightInd/>
              <w:snapToGrid w:val="0"/>
              <w:spacing w:line="560" w:lineRule="exact"/>
              <w:contextualSpacing/>
              <w:jc w:val="left"/>
              <w:textAlignment w:val="auto"/>
              <w:rPr>
                <w:rFonts w:hint="default" w:ascii="Times New Roman" w:hAnsi="Times New Roman" w:eastAsia="黑体" w:cs="Times New Roman"/>
                <w:color w:val="000000"/>
                <w:sz w:val="32"/>
                <w:szCs w:val="32"/>
              </w:rPr>
            </w:pPr>
            <w:r>
              <w:rPr>
                <w:rFonts w:hint="default" w:ascii="Times New Roman" w:hAnsi="Times New Roman" w:eastAsia="方正楷体_GBK" w:cs="Times New Roman"/>
                <w:sz w:val="32"/>
                <w:szCs w:val="32"/>
              </w:rPr>
              <w:t>请选手根据备赛指南，围绕</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eastAsia="zh-CN"/>
              </w:rPr>
              <w:t>学习二十大、永远跟党走、奋进新征程</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主题，紧密联系大学生思想实际，制作一堂主题团课、思政课视频。要求：自拟题目；严谨准确，贴近学生，有吸引力感染力。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2127"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学习贯彻习近平新时代中国特色社会主义思想主题教育</w:t>
            </w:r>
          </w:p>
        </w:tc>
        <w:tc>
          <w:tcPr>
            <w:tcW w:w="7512" w:type="dxa"/>
            <w:noWrap w:val="0"/>
            <w:vAlign w:val="top"/>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contextualSpacing/>
              <w:jc w:val="left"/>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val="en-US" w:eastAsia="zh-CN"/>
              </w:rPr>
              <w:t>中国特色社会主义进入新时代，更好地坚持和发展中国特色社会主义，中国共产党领导是中国特色社会主义最本质特征，坚持以人民为中心的根本立场，坚持创新协调绿色开放共享的新发展理念，开启全面建设社会主义现代化国家新征程，坚持全面深化改革和全面开放，经济发展新常态与实现高质量发展，坚持和发展社会主义民主政治，建设社会主义文化强国，努力让人民过上更好生活，走向生态文明新时代，民族复兴的坚强保障，构建人类命运共同体，坚定不移推进全面从严治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2127"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黑体" w:hAnsi="黑体" w:eastAsia="黑体" w:cs="黑体"/>
                <w:color w:val="000000"/>
                <w:sz w:val="32"/>
                <w:szCs w:val="32"/>
                <w:highlight w:val="yellow"/>
              </w:rPr>
            </w:pPr>
            <w:r>
              <w:rPr>
                <w:rFonts w:hint="eastAsia" w:ascii="方正黑体_GBK" w:hAnsi="方正黑体_GBK" w:eastAsia="方正黑体_GBK" w:cs="方正黑体_GBK"/>
                <w:color w:val="000000"/>
                <w:sz w:val="32"/>
                <w:szCs w:val="32"/>
                <w:lang w:val="en-US" w:eastAsia="zh-CN"/>
              </w:rPr>
              <w:t>党的二十大报告党建关键词、重要论断</w:t>
            </w:r>
          </w:p>
        </w:tc>
        <w:tc>
          <w:tcPr>
            <w:tcW w:w="7512" w:type="dxa"/>
            <w:noWrap w:val="0"/>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contextualSpacing/>
              <w:textAlignment w:val="auto"/>
              <w:outlineLvl w:val="9"/>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加强新经济组织、新社会组织、新就业群体党的建设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推进以党建引领基层治理</w:t>
            </w:r>
            <w:r>
              <w:rPr>
                <w:rFonts w:hint="default" w:ascii="Times New Roman" w:hAnsi="Times New Roman" w:eastAsia="方正仿宋_GBK" w:cs="Times New Roman"/>
                <w:sz w:val="32"/>
                <w:szCs w:val="32"/>
                <w:lang w:eastAsia="zh-CN"/>
              </w:rPr>
              <w:t>；坚持大抓基层的鲜明导向；加强干部斗争精神和斗争本领养成；增强干部推动高质量发展本领、服务群众本领、防范化解风险本领；做深做实干部政治素质考察；建设堪当民族复兴重任的高素质干部队伍；完善党的自我革命制度规范体系；用党的创新理论武装全党是党的思想建设的根本任务；提高各级党组织和党员干部政治判断力、政治领悟力、政治执行力；完善党中央重大决策部署落实机制；健全全面从严治党体系；深入推进新时代党的建设新的伟大工程；党的自我革命永远在路上；以伟大建党精神为源头的中国共产党人精神谱系；全面建设社会主义现代化国家、全面推进中华民族伟大复兴，关键在党；加快建设国家战略人才力量；中国式现代化；习近平新时代中国特色社会主义思想的世界观和方法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两个结合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三件大事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三个</w:t>
            </w:r>
            <w:r>
              <w:rPr>
                <w:rFonts w:hint="default" w:ascii="Times New Roman" w:hAnsi="Times New Roman" w:eastAsia="方正仿宋_GBK" w:cs="Times New Roman"/>
                <w:sz w:val="32"/>
                <w:szCs w:val="32"/>
                <w:lang w:val="en-US" w:eastAsia="zh-CN"/>
              </w:rPr>
              <w:t>务必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2127"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sz w:val="32"/>
                <w:szCs w:val="32"/>
                <w:lang w:val="en-US" w:eastAsia="zh-CN"/>
              </w:rPr>
              <w:t>在全省各级党组织和广大党员干部中大兴调查研究</w:t>
            </w:r>
          </w:p>
        </w:tc>
        <w:tc>
          <w:tcPr>
            <w:tcW w:w="7512" w:type="dxa"/>
            <w:noWrap w:val="0"/>
            <w:vAlign w:val="top"/>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contextualSpacing/>
              <w:jc w:val="left"/>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eastAsia="zh-CN"/>
              </w:rPr>
              <w:t>贯彻落实党中央决策部署和习近平总书记对江苏工作的重要讲话重要指示精神，推动高质量发展走在前列，统筹发展和安全，全面深化改革开放，全面依法治省，加快建设文化强省，扎实推进共同富裕，保障和改善民生，推进美丽江苏建设，推进平安江苏建设，扛起全面从严治党首先提出地政治责任，</w:t>
            </w:r>
            <w:r>
              <w:rPr>
                <w:rFonts w:hint="default" w:ascii="Times New Roman" w:hAnsi="Times New Roman" w:eastAsia="方正仿宋_GBK" w:cs="Times New Roman"/>
                <w:sz w:val="32"/>
                <w:szCs w:val="32"/>
                <w:lang w:val="en-US" w:eastAsia="zh-CN"/>
              </w:rPr>
              <w:t>所在高校在共青团改革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学生会改革</w:t>
            </w:r>
            <w:r>
              <w:rPr>
                <w:rFonts w:hint="default" w:ascii="Times New Roman" w:hAnsi="Times New Roman" w:eastAsia="方正仿宋_GBK" w:cs="Times New Roman"/>
                <w:sz w:val="32"/>
                <w:szCs w:val="32"/>
                <w:lang w:eastAsia="zh-CN"/>
              </w:rPr>
              <w:t>等方面长期未解决的老大难问题</w:t>
            </w:r>
            <w:r>
              <w:rPr>
                <w:rFonts w:hint="default" w:ascii="Times New Roman" w:hAnsi="Times New Roman" w:eastAsia="方正仿宋_GBK" w:cs="Times New Roman"/>
                <w:sz w:val="32"/>
                <w:szCs w:val="32"/>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2127"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党的百年</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黑体" w:hAnsi="黑体" w:eastAsia="黑体" w:cs="黑体"/>
                <w:color w:val="000000"/>
                <w:kern w:val="2"/>
                <w:sz w:val="32"/>
                <w:szCs w:val="32"/>
                <w:lang w:val="en-US" w:eastAsia="zh-CN" w:bidi="ar-SA"/>
              </w:rPr>
            </w:pPr>
            <w:r>
              <w:rPr>
                <w:rFonts w:hint="eastAsia" w:ascii="方正黑体_GBK" w:hAnsi="方正黑体_GBK" w:eastAsia="方正黑体_GBK" w:cs="方正黑体_GBK"/>
                <w:color w:val="000000"/>
                <w:sz w:val="32"/>
                <w:szCs w:val="32"/>
              </w:rPr>
              <w:t>历史学习</w:t>
            </w:r>
          </w:p>
        </w:tc>
        <w:tc>
          <w:tcPr>
            <w:tcW w:w="7512" w:type="dxa"/>
            <w:noWrap w:val="0"/>
            <w:vAlign w:val="top"/>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contextualSpacing/>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事件篇：</w:t>
            </w:r>
            <w:r>
              <w:rPr>
                <w:rFonts w:hint="default" w:ascii="Times New Roman" w:hAnsi="Times New Roman" w:eastAsia="方正仿宋_GBK" w:cs="Times New Roman"/>
                <w:sz w:val="32"/>
                <w:szCs w:val="32"/>
                <w:lang w:eastAsia="zh-CN"/>
              </w:rPr>
              <w:t>五四运动</w:t>
            </w:r>
            <w:r>
              <w:rPr>
                <w:rFonts w:hint="default" w:ascii="Times New Roman" w:hAnsi="Times New Roman" w:eastAsia="方正仿宋_GBK" w:cs="Times New Roman"/>
                <w:sz w:val="32"/>
                <w:szCs w:val="32"/>
              </w:rPr>
              <w:t>，中国共产党成立，遵义会议，真理标准讨论，港澳回归，神舟七号，实现中华民族伟大复兴中国梦的提出，党的三份历史决议的通过等在党和国家发展过程中具有重大影响力的事件。</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contextualSpacing/>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精神篇：</w:t>
            </w:r>
            <w:r>
              <w:rPr>
                <w:rFonts w:hint="default" w:ascii="Times New Roman" w:hAnsi="Times New Roman" w:eastAsia="方正仿宋_GBK" w:cs="Times New Roman"/>
                <w:sz w:val="32"/>
                <w:szCs w:val="32"/>
              </w:rPr>
              <w:t>井冈山精神、苏区精神、长征精神、遵义会议精神、延安精神、抗战精神、红岩精神、西柏坡精神、抗美援朝精神、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两弹一星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精神、改革开放精神、特区精神、抗洪精神、抗震救灾精神、脱贫攻坚精神、抗疫精神等伟大精神。</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contextualSpacing/>
              <w:jc w:val="left"/>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sz w:val="32"/>
                <w:szCs w:val="32"/>
              </w:rPr>
              <w:t>青年篇章：</w:t>
            </w:r>
            <w:r>
              <w:rPr>
                <w:rFonts w:hint="default" w:ascii="Times New Roman" w:hAnsi="Times New Roman" w:eastAsia="方正仿宋_GBK" w:cs="Times New Roman"/>
                <w:sz w:val="32"/>
                <w:szCs w:val="32"/>
                <w:lang w:val="en-US" w:eastAsia="zh-CN"/>
              </w:rPr>
              <w:t>中国共产党创建中国青年团组织，共青团跟随共产党在土地革命中奋斗，青年抗日救亡运动，</w:t>
            </w:r>
            <w:r>
              <w:rPr>
                <w:rFonts w:hint="default" w:ascii="Times New Roman" w:hAnsi="Times New Roman" w:eastAsia="方正仿宋_GBK" w:cs="Times New Roman"/>
                <w:sz w:val="32"/>
                <w:szCs w:val="32"/>
              </w:rPr>
              <w:t>青年突击队、青年垦荒队、青年文明号、青年创业行动、大学生志愿服务西部计划、时代新人培育等党引领指导青年群体成长成才为合格社会主义事业接班人的活动。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2127" w:type="dxa"/>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奋进行动专题</w:t>
            </w:r>
          </w:p>
        </w:tc>
        <w:tc>
          <w:tcPr>
            <w:tcW w:w="7512" w:type="dxa"/>
            <w:noWrap w:val="0"/>
            <w:vAlign w:val="top"/>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contextualSpacing/>
              <w:jc w:val="left"/>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eastAsia="zh-CN"/>
              </w:rPr>
              <w:t>学习贯彻党的二十大精神，全面落实习近平总书记给我校留学归国青年学者的重要回信精神，启动实施南京大学“奋进行动”</w:t>
            </w:r>
            <w:r>
              <w:rPr>
                <w:rFonts w:hint="eastAsia" w:ascii="Times New Roman" w:hAnsi="Times New Roman" w:eastAsia="方正仿宋_GBK" w:cs="Times New Roman"/>
                <w:sz w:val="32"/>
                <w:szCs w:val="32"/>
                <w:lang w:val="en-US" w:eastAsia="zh-CN"/>
              </w:rPr>
              <w:t>的总体要求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明确建设中国特色、南大特质、时代特点的世界一流大学“三步走”战略目标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以南大式奋进谱写新时代“第一个南大”建设新篇章的号召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南大青年落实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奋进行动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细化方案</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eastAsia="zh-CN"/>
              </w:rPr>
              <w:t>6大品牌</w:t>
            </w:r>
            <w:r>
              <w:rPr>
                <w:rFonts w:hint="eastAsia" w:ascii="Times New Roman" w:hAnsi="Times New Roman" w:eastAsia="方正仿宋_GBK" w:cs="Times New Roman"/>
                <w:sz w:val="32"/>
                <w:szCs w:val="32"/>
                <w:lang w:val="en-US" w:eastAsia="zh-CN"/>
              </w:rPr>
              <w:t>和16个专项</w:t>
            </w:r>
            <w:r>
              <w:rPr>
                <w:rFonts w:hint="default" w:ascii="Times New Roman" w:hAnsi="Times New Roman" w:eastAsia="方正仿宋_GBK" w:cs="Times New Roman"/>
                <w:sz w:val="32"/>
                <w:szCs w:val="32"/>
                <w:lang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628FD-9956-4A42-9C1C-179ADB2C3D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424E12D-39DA-41AA-9FCC-5FC8989C401D}"/>
  </w:font>
  <w:font w:name="方正黑体_GBK">
    <w:panose1 w:val="03000509000000000000"/>
    <w:charset w:val="86"/>
    <w:family w:val="script"/>
    <w:pitch w:val="default"/>
    <w:sig w:usb0="00000001" w:usb1="080E0000" w:usb2="00000000" w:usb3="00000000" w:csb0="00040000" w:csb1="00000000"/>
    <w:embedRegular r:id="rId3" w:fontKey="{44755A6B-D735-4D84-9FF5-C8EC999C5734}"/>
  </w:font>
  <w:font w:name="方正楷体_GBK">
    <w:panose1 w:val="03000509000000000000"/>
    <w:charset w:val="86"/>
    <w:family w:val="script"/>
    <w:pitch w:val="default"/>
    <w:sig w:usb0="00000001" w:usb1="080E0000" w:usb2="00000000" w:usb3="00000000" w:csb0="00040000" w:csb1="00000000"/>
    <w:embedRegular r:id="rId4" w:fontKey="{9C7D1E79-22BD-4222-8178-E86EB38D9889}"/>
  </w:font>
  <w:font w:name="方正仿宋_GBK">
    <w:panose1 w:val="02000000000000000000"/>
    <w:charset w:val="86"/>
    <w:family w:val="script"/>
    <w:pitch w:val="default"/>
    <w:sig w:usb0="A00002BF" w:usb1="38CF7CFA" w:usb2="00082016" w:usb3="00000000" w:csb0="00040001" w:csb1="00000000"/>
    <w:embedRegular r:id="rId5" w:fontKey="{E07D1945-1460-4D46-BFF3-656FD6CDFAB3}"/>
  </w:font>
  <w:font w:name="sans-serif">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NjY5ZmU3YzIxOGNkNTczNWNkNjMzNjc1MTM0YzEifQ=="/>
  </w:docVars>
  <w:rsids>
    <w:rsidRoot w:val="498C4307"/>
    <w:rsid w:val="45401BA6"/>
    <w:rsid w:val="498C4307"/>
    <w:rsid w:val="4B0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rFonts w:ascii="Verdana" w:hAnsi="Verdana" w:cs="Times New Roman"/>
      <w:b/>
      <w:bCs/>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2023-04-21T03:29:00Z</dcterms:created>
  <dc:creator>Zer</dc:creator>
  <cp:lastModifiedBy>Zer</cp:lastModifiedBy>
  <dcterms:modified xsi:type="dcterms:W3CDTF">2023-04-21T05:36:53Z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F5DEC2CC10684AC28B6B1E868A8CA85E_11</vt:lpwstr>
  </property>
</Properties>
</file>